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28618">
      <w:pPr>
        <w:jc w:val="center"/>
        <w:outlineLvl w:val="5"/>
        <w:rPr>
          <w:rFonts w:hint="default" w:ascii="Times New Roman" w:hAnsi="Times New Roman" w:cs="Times New Roman"/>
          <w:sz w:val="28"/>
          <w:szCs w:val="28"/>
          <w:lang w:val="ru-RU"/>
        </w:rPr>
      </w:pPr>
      <w:r>
        <w:rPr>
          <w:rFonts w:hint="default" w:ascii="Times New Roman" w:hAnsi="Times New Roman" w:cs="Times New Roman"/>
          <w:sz w:val="28"/>
          <w:szCs w:val="28"/>
          <w:lang w:val="ru-RU"/>
        </w:rPr>
        <w:t>Краткие методические рекомендации (пояснения) к заданиям рабочей тетради</w:t>
      </w:r>
    </w:p>
    <w:p w14:paraId="05AC2A7A">
      <w:p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Рабочая тетрадь разработана в соответствии с программой по предмету Русский язык для 1 дополнительного класса для обучающихся с интеллектуальными нарушениями (вариант 1). </w:t>
      </w:r>
    </w:p>
    <w:p w14:paraId="33317D91">
      <w:p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Начало и конец урока обозначены жёлтым колокольчиком. Нумерация заданий в тетради отсутствует, но предусмотрен зелёный квадрат рядом с каждым заданием. Учитель самостоятельно вписывает цифры или условный знак/цветовой индикатор, который принят в визуальном расписании урока. В методических рекомендациях описание работы с заданиями идёт в той последовательности как они расположены в тетради. </w:t>
      </w:r>
      <w:r>
        <w:rPr>
          <w:rFonts w:hint="default" w:ascii="Times New Roman" w:hAnsi="Times New Roman" w:cs="Times New Roman"/>
          <w:sz w:val="24"/>
          <w:szCs w:val="24"/>
          <w:lang w:val="ru-RU"/>
        </w:rPr>
        <w:tab/>
      </w:r>
    </w:p>
    <w:p w14:paraId="17E05D51">
      <w:p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зависимости от уровня развития обучающихся и плана урока учитель может предложить классу все или некоторые задания.  Задания в тетради подразумевают практику в чтении для читающих детей. Задания на знакомство с элементами письменных букв - это  дополнительные задания для более подготовленных к школе обучающихся с хорошими моторными навыками. Материал представлен от простых элементов к более сложным. Новый вид работы в тетради сопровождается образцом «Делай так».</w:t>
      </w:r>
    </w:p>
    <w:p w14:paraId="5B580FD8">
      <w:p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1-7 уроки</w:t>
      </w:r>
    </w:p>
    <w:p w14:paraId="43E4D02F">
      <w:p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Обращать внимание обучающихся на понятия: контур фигуры (на последующих уроках контур букв); пунктирная линия; обводка по пунктирной линии, рисование контура фигуры; раскрашивание, не выходя за контур. </w:t>
      </w:r>
    </w:p>
    <w:p w14:paraId="7955776F">
      <w:p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2 урок</w:t>
      </w:r>
    </w:p>
    <w:p w14:paraId="6901D8DD">
      <w:p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ru-RU"/>
        </w:rPr>
        <w:tab/>
        <w:t>1 задание. Повторит с обучающимися форму фигур, фвет, какого цвета контур фигур. Обвести пальцем по контуру. Далее учитель на доске демонстрирует работу с шаблоном: расположить на листе, крепко прижать в центре пальцами левой руки (для правшей), а правой рукой аккуратно вести карандаш, прижимая грифель к краю фигуры. Шаблон двигать нельзя. Затем обучающиеся обводят шаблоны квадрата и круга (1-2 раза) в тетради. Размер шаблона на усмотрение учителя. Раскрашивание фигур может быть или таким же как на образце, или на усмотрение учителя.</w:t>
      </w:r>
    </w:p>
    <w:p w14:paraId="07241EAA">
      <w:p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 задание. Работа может проходить в нескольких  вариантах:</w:t>
      </w:r>
    </w:p>
    <w:p w14:paraId="35C6A7C9">
      <w:pPr>
        <w:numPr>
          <w:ilvl w:val="0"/>
          <w:numId w:val="1"/>
        </w:numPr>
        <w:ind w:left="50"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Называется цвет фигур в произвольном порядке, а обучающиеся показывают. </w:t>
      </w:r>
    </w:p>
    <w:p w14:paraId="07D86515">
      <w:pPr>
        <w:numPr>
          <w:ilvl w:val="0"/>
          <w:numId w:val="1"/>
        </w:numPr>
        <w:ind w:left="50"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Обучающиеся ставят палец на 1 квадрат, называют цвет,  передвигают палец на следующий и опять называют цвет и т.д.</w:t>
      </w:r>
    </w:p>
    <w:p w14:paraId="285EFBC6">
      <w:pPr>
        <w:numPr>
          <w:ilvl w:val="0"/>
          <w:numId w:val="1"/>
        </w:numPr>
        <w:ind w:left="50"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Учитель спрашивает цвет первого квадрата и просит взять такой же карандаш. Просит обвести по пунктирным линиям - нарисовать контур первого квадрата. Раскрашивать можно сразу или после обводки всех квадратов. С другими квадратами проходит аналогичная работа - может проходить фронтально, а можно предложить обучающимся самостоятельную работу после 2-3 раскрашенных квадратов. </w:t>
      </w:r>
    </w:p>
    <w:p w14:paraId="27865953">
      <w:pPr>
        <w:numPr>
          <w:ilvl w:val="0"/>
          <w:numId w:val="0"/>
        </w:numPr>
        <w:ind w:left="50" w:leftChars="0"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4 урок</w:t>
      </w:r>
    </w:p>
    <w:p w14:paraId="127A82D5">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1 задание. Повторение цвета, формы, размера. Назвать форму фигур, их цвет. Сравнить по размеру квадраты. Найти и показать такие фигуры на грузовике: из какой фигуры сделали кузов (большой красный квадрат), кабину, окно и колёса. </w:t>
      </w:r>
      <w:r>
        <w:rPr>
          <w:rFonts w:hint="default" w:ascii="Times New Roman" w:hAnsi="Times New Roman" w:cs="Times New Roman"/>
          <w:sz w:val="24"/>
          <w:szCs w:val="24"/>
          <w:u w:val="single"/>
          <w:lang w:val="ru-RU"/>
        </w:rPr>
        <w:t>В качестве дополнительных заданий</w:t>
      </w:r>
      <w:r>
        <w:rPr>
          <w:rFonts w:hint="default" w:ascii="Times New Roman" w:hAnsi="Times New Roman" w:cs="Times New Roman"/>
          <w:sz w:val="24"/>
          <w:szCs w:val="24"/>
          <w:lang w:val="ru-RU"/>
        </w:rPr>
        <w:t xml:space="preserve"> тут и в дальнейшем обучающимся может быть предложен счёт предметов: посчитать квадраты, круги, синие фигуры и др.</w:t>
      </w:r>
    </w:p>
    <w:p w14:paraId="110840B2">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2 задание. Повторить правила работы с шаблоном. Обвести по шаблону круг и квадрат. Учитель обращает внимание, что обучающиеся нарисовали контур фигуры. Провести пальцем по контуру шаблона и по контуру нарисованной фигуры. Раскрасить фигуры в соответствии с цветовым пятном радом со словами «круг», «квадрат», обращать внимание, что за контур выходить нельзя. </w:t>
      </w:r>
    </w:p>
    <w:p w14:paraId="59ABCC47">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5 урок</w:t>
      </w:r>
    </w:p>
    <w:p w14:paraId="0E16537B">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3 задание. Рассматривается логическая цепочка из кругов. Сначала обратить внимание на цвет контура фигур. Обвести круги чёрным или простым карандашом. Далее обратить внимание, что красный и жёлтый круги стоят в ряду поочереди - сначала красный, потом жёлтый, затем опять красный, а после него должен опять стоять жёлтый. Обучающиеся раскрашивают круги. Работа с квадратами проходит аналогично. </w:t>
      </w:r>
    </w:p>
    <w:p w14:paraId="39A082CC">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7 урок</w:t>
      </w:r>
    </w:p>
    <w:p w14:paraId="04BA9DA7">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1 задание. Назвать предмет, цвет колец. Обвести по пунктирным линиям цветными карандашами и раскрасить. </w:t>
      </w:r>
    </w:p>
    <w:p w14:paraId="604D57E8">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2 задание. Обратить внимание на цвет контура предметов. Провести линии можно предложить цветными карандашами или простым карандашом. </w:t>
      </w:r>
    </w:p>
    <w:p w14:paraId="41DB5CAB">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8 урок</w:t>
      </w:r>
    </w:p>
    <w:p w14:paraId="1B55DF90">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Учить различать зрительно «предмет», «картинка», «слово» (написано буквами), «схема слова» - карточка с полоской (в дальнейшем просто полоска), которая закрывает буквы (для детей, которые не читают) или  слово (для детей, которые читают). Учитель может принести на урок предметы: мячик, игрушку и др., чтобы обучающиеся различали предмет и картинку этого предмета. На нескольких уроках демонстрировать обучающимся, что под карточкой со схемой написаны буквы (слово). Необходимо проводить пропедевтику работы над схемой предложения. Предлагать обучающимся считать слова на слух (Сколько слов я произнесла?) и количество написанных слов (схем).</w:t>
      </w:r>
    </w:p>
    <w:p w14:paraId="1CE83325">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1 задание. У обучающихся карточки со схемой слова. После предварительной подготовки, обучающиеся накрывают карточками слова, называют картинки, что нарисовано. </w:t>
      </w:r>
    </w:p>
    <w:p w14:paraId="56C4DFEE">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2 задание. Подготовка к работе с трафаретами. Выяснить, контур какого животного изображён, какое слово спряталось под карточкой-схемой, сколько всего слов спряталось. </w:t>
      </w:r>
    </w:p>
    <w:p w14:paraId="498FCBFD">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 задание. Знакомство с трафаретом, правилами работы: расположить рамку на листе, крепко прижать левой рукой (для правшей), вести карандашом по внутренней стороне, прижимая грифель к рамке. Трафарет двигать нельзя.</w:t>
      </w:r>
    </w:p>
    <w:p w14:paraId="4F8B55B6">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Можно предложить работу с трафаретом квадрата и круга. Обвести по 1 разу и дорисовать фигуры (на что похоже). Или учитель предлагает более сложные трафареты из имеющихся, в зависимости от уровня развития моторных навыков обучающихся. Обвести и раскрасить. </w:t>
      </w:r>
    </w:p>
    <w:p w14:paraId="094281F0">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9 урок</w:t>
      </w:r>
    </w:p>
    <w:p w14:paraId="559DB774">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2, 4 задания выполняются аналогично заданиям на 8 уроке.</w:t>
      </w:r>
    </w:p>
    <w:p w14:paraId="6124395B">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10 урок</w:t>
      </w:r>
    </w:p>
    <w:p w14:paraId="65A7C6DB">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 задание. Повторить правила работы с шаблоном и трафаретом. Рассмотреть имеющиеся у ученика на парте: какая форма, размер, контур какого предмета в трафарете. Несколько вариантов работы с шаблонами и трафаретами в зависимости от уровня готовности обучающихся, их моторных навыков и на усмотрение учителя.</w:t>
      </w:r>
    </w:p>
    <w:p w14:paraId="32114765">
      <w:pPr>
        <w:numPr>
          <w:ilvl w:val="0"/>
          <w:numId w:val="2"/>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Построить работу на пространственную ориентацию на плоскости. Например, обвести в центре (посередине) квадрат. Справа от квадрата обвести большой круг, слева - маленький. Квадрат оказался между двух кругов. По указанию учителя обучающиеся раскрашивают фигуры или предметы.</w:t>
      </w:r>
    </w:p>
    <w:p w14:paraId="4B2A879C">
      <w:pPr>
        <w:numPr>
          <w:ilvl w:val="0"/>
          <w:numId w:val="2"/>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Художественное творчество. С помощью шаблонов и трафаретов нарисовать:</w:t>
      </w:r>
    </w:p>
    <w:p w14:paraId="7D27A10F">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домик (квадрат и треугольник), солнце (см. Урок №4 задание 4) ;</w:t>
      </w:r>
    </w:p>
    <w:p w14:paraId="63CA2825">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неваляшку (с помощью кругов);</w:t>
      </w:r>
    </w:p>
    <w:p w14:paraId="1B772571">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ёлочку (с помощью треугольников);</w:t>
      </w:r>
    </w:p>
    <w:p w14:paraId="23878C6D">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снеговика (с помощью кругов);</w:t>
      </w:r>
    </w:p>
    <w:p w14:paraId="0C8805A2">
      <w:pPr>
        <w:numPr>
          <w:ilvl w:val="0"/>
          <w:numId w:val="0"/>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другое изображение.</w:t>
      </w:r>
    </w:p>
    <w:p w14:paraId="41A77DB4">
      <w:pPr>
        <w:numPr>
          <w:ilvl w:val="0"/>
          <w:numId w:val="2"/>
        </w:num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Для ребят со слабыми моторными навыками работу построить на повторение геометрических фигур и их изображение с помощью шаблона и трафарета.</w:t>
      </w:r>
    </w:p>
    <w:p w14:paraId="10CAEA12">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11 урок</w:t>
      </w:r>
    </w:p>
    <w:p w14:paraId="11887B62">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 задание. Смотри урок №10 задание 2.</w:t>
      </w:r>
    </w:p>
    <w:p w14:paraId="762F2BB2">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13 урок</w:t>
      </w:r>
    </w:p>
    <w:p w14:paraId="798B80CC">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Введение слова, называющее действие предмета. Выполнить с обучающимися практические действия в соответствии с изображениями в задании (Я стою. Человек стоит.). Начертить схемы слов, называющих действия.</w:t>
      </w:r>
    </w:p>
    <w:p w14:paraId="27C8F8F8">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2 задание. Введение понятий предложение, схема предложения. Работа проходит аналогично введению схемы слова. Обратить внимание детей на соответствие вертикальной черты на схеме заглавной букве в первом слове и точки в конце предложения написанного словами и схеме предложения. Сравнить схему слова (палочка лежит) со схемой предложения (наличие вертикальной черты и точки). На этом уроке и на последующих при работе со схемой предложения у обучающихся необходимо сформировать понимание, что схема «закрывает», «прячет» не одно слово, а несколько слов связанных по смыслу - слово, называющее предмет и слово, называющее действие этого предмета. </w:t>
      </w:r>
    </w:p>
    <w:p w14:paraId="7AA7FA37">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14 урок</w:t>
      </w:r>
    </w:p>
    <w:p w14:paraId="4F2718ED">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 задание. Поставить указательный палец левой руки на жёлтый круг слева, а указательный палец правой руки  - на жёлтый круг после стрелки. Сравнить фигуры: одинаковые или разные? Сдвинуть пальцы вправо и сравнить фигуры: одинаковые или разные? Выяснить как изменилось место нахождения квадрата и треугольника. Аналогично проходит работа со второй и третьей строкой.</w:t>
      </w:r>
    </w:p>
    <w:p w14:paraId="5876277D">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w:t>
      </w:r>
      <w:r>
        <w:rPr>
          <w:rFonts w:hint="default" w:ascii="Times New Roman" w:hAnsi="Times New Roman" w:cs="Times New Roman"/>
          <w:b/>
          <w:bCs/>
          <w:sz w:val="24"/>
          <w:szCs w:val="24"/>
          <w:lang w:val="ru-RU"/>
        </w:rPr>
        <w:t>5-16 уроки</w:t>
      </w:r>
    </w:p>
    <w:p w14:paraId="1C3B80F1">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Обучающиеся работают со схемой слова и схемой предложения. Чертят, обводят схемы и достраивают недостающее (точку). Обучающимся с высокой готовностью можно предложить составить предложение со словом кошка/собака к первой картинке (Кошка/собака сидит. Кошка/собака смотрит.)</w:t>
      </w:r>
    </w:p>
    <w:p w14:paraId="22DFC754">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17 урок</w:t>
      </w:r>
    </w:p>
    <w:p w14:paraId="47EDADCB">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Сравнить слово и предложение и их схемы. Обратить внимание (можно выделить, подчеркнуть) на заглавную букву и точку в предложении и на схеме предложения. Посчитать слова в предложении. Затем обучающиеся соединяют слова и предложения со схемами; самостоятельно составляют предложения и чертят схемы.</w:t>
      </w:r>
    </w:p>
    <w:p w14:paraId="45B1F2A4">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18 - 19 уроки</w:t>
      </w:r>
    </w:p>
    <w:p w14:paraId="21E58E0B">
      <w:pPr>
        <w:numPr>
          <w:ilvl w:val="0"/>
          <w:numId w:val="0"/>
        </w:numPr>
        <w:ind w:left="120" w:firstLine="707"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После подготовительной работы - обучающиеся считают слова в простых предложениях - обратить внимание на изменение в схеме предложения. Обучающиеся соотносят количество слов в предложении с количеством горизонтальных линий в схеме. Читающие дети прочитываю и называю какое слово стоит первым, а какое - вторым. Для обучающихся, не умеющих читать, обратить внимание на промежуток между словами - слово от слова пишется отдельно. Таким образом и эти дети могут определить количество слов в предложении. Сравнить правила написания предложения со схемой - как указана заглавная буква, есть ли точка.</w:t>
      </w:r>
    </w:p>
    <w:p w14:paraId="3558AA9B">
      <w:pPr>
        <w:numPr>
          <w:ilvl w:val="0"/>
          <w:numId w:val="0"/>
        </w:numPr>
        <w:ind w:left="120" w:firstLine="707"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20 - 23 уроки</w:t>
      </w:r>
    </w:p>
    <w:p w14:paraId="62EB17A5">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Попросить детей сначала показать картинки. Обучающиеся могут составить свои предложения по картинкам, посчитать количество слов в своих предложениях на слух.  Затем показывают написанные слова и предложения в задании и считают количество слов в каждом предложении, соотносят со схемой, обводят схему предложения и достраивают её (ставят точку).</w:t>
      </w:r>
    </w:p>
    <w:p w14:paraId="31B8C69E">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20-21 уроки</w:t>
      </w:r>
    </w:p>
    <w:p w14:paraId="3B07656E">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 задание. Задание на развитие зрительной памяти. После обсуждения формы и цвета фигур, обучающимся предлагается запомнить цвет фигур в первом ряду, закрыть рукой или листом бумаги и раскрасить прямоугольники после стрелки. Сравнить результат с образцом. По мере увеличения количества фигур, обучающимся предложить проговаривание порядка следования цветов фигур - добавить слуховую память.</w:t>
      </w:r>
    </w:p>
    <w:p w14:paraId="09E78517">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24 урок </w:t>
      </w:r>
    </w:p>
    <w:p w14:paraId="227BD319">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1 задание. Учитель читает рассказ для первого восприятия обучающимися.  Затем   по предложениям читают дети или учитель. Обучающиеся в это время ведут пальцем по словам, считают слова в предложении. Затем чертят схему и соотносят её с правилами написания предложения. </w:t>
      </w:r>
    </w:p>
    <w:p w14:paraId="13994C98">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Работа с картинками строится в зависимости от уровня готовности обучающихся. Дети могут найти в рассказе предложения соответствующие картинкам или, во время чтения рассказа учителем, обучающиеся подают условный знак  (например, хлопают) когда услышат предложение соответствующее картине.</w:t>
      </w:r>
    </w:p>
    <w:p w14:paraId="3A2F75C5">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27 урок</w:t>
      </w:r>
    </w:p>
    <w:p w14:paraId="05447005">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 задание. Смотри урок №10 задание 2.</w:t>
      </w:r>
    </w:p>
    <w:p w14:paraId="709F7643">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29-30 уроки</w:t>
      </w:r>
    </w:p>
    <w:p w14:paraId="71CA2EAD">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Рассмотреть картинки. Составит предложения по картинкам. Учитель или читающий ребёнок читает предложения, а обучающиеся показываю соответствующую картинку, затем достраивают или чертят схему предложения, делят слова на слоги.</w:t>
      </w:r>
    </w:p>
    <w:p w14:paraId="55E1CF0F">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32 урок</w:t>
      </w:r>
    </w:p>
    <w:p w14:paraId="2898C20F">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В этом задании и при введении новых букв на других уроках необходима работа с артикуляцией звука. Обратить внимание обучающихся на положение языка, губ, работу голосовых связок (положить ладонь на горло при произнесении звука).</w:t>
      </w:r>
    </w:p>
    <w:p w14:paraId="09F8D2A1">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2 задание. В этом задании и в аналогичных на последующих уроках учитель даёт образец произнесения слова нараспев для возможности прислушаться к звукам слова, чтобы выделить/услышать необходимый звук, определить его место в слове (начало, середина, конец). Важно не орфографическое, а орфоэпическое проговаривание слова. Например, в словах МОЛОКО и ОКНО звук О только в конце слова в ударной позиции. Обратит внимание детей и на написанное слово для запоминания образа буквы: если буква первая, то она стоит в начале слова; если бука последняя, то она стоит в конце слова; если перед буквой и после неё есть другие буквы, то буква находится в середине слова. Работа проводится фронтально до 40 урока. Задача: обострить слуховое внимание обучающихся. Учителю следует уделить максимум внимания этой работе для пропедевтики написания обучающимися под диктовку. </w:t>
      </w:r>
    </w:p>
    <w:p w14:paraId="5C2588FB">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40 урок</w:t>
      </w:r>
    </w:p>
    <w:p w14:paraId="083C479C">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 задание. Рассмотреть образец обозначения позиции звука в слове. В зависимости от уровня готовности обучающихся предложить обучающимся самостоятельно выполнить аналогичную работу или продолжить работу фронтально.</w:t>
      </w:r>
    </w:p>
    <w:p w14:paraId="34BD4996">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43 урок</w:t>
      </w:r>
    </w:p>
    <w:p w14:paraId="6BA01AA4">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1 задание. В этом задании и в аналогичных на последующих уроках обучающиеся вписывают изученные буквы в слова, строят схемы, определяют место буквы/звука в слове. Дети, которые умеют читать, после вписывания букв читают слова и соотносят их с картинкой. Дети, которые не умеют читать, после вписывания букв называют слово опираясь на картинку. В качестве дополнительной работы обучающимся может быть предложено составить предложение с этим словом. </w:t>
      </w:r>
    </w:p>
    <w:p w14:paraId="27422BFF">
      <w:pPr>
        <w:numPr>
          <w:ilvl w:val="0"/>
          <w:numId w:val="0"/>
        </w:numPr>
        <w:ind w:firstLine="708" w:firstLineChars="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49 урок </w:t>
      </w:r>
    </w:p>
    <w:p w14:paraId="2E4BF306">
      <w:pPr>
        <w:numPr>
          <w:ilvl w:val="0"/>
          <w:numId w:val="0"/>
        </w:numPr>
        <w:ind w:firstLine="708"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 задание.  На этом уроке и на последующих в аналогичных заданиях учитель проводит буквенный диктант для контроля усвоения образа букв. Обучающимся могут быть предложены для записи под диктовку слоги,  слова, состоящие из изученных букв. Подготовкой к диктанту может быть составление букв на парте из счётных палочек, выкладывание из шнурков, выбор карточки с нужной буквой, письмо мелом на доске.</w:t>
      </w:r>
    </w:p>
    <w:p w14:paraId="13509D7D">
      <w:pPr>
        <w:numPr>
          <w:ilvl w:val="0"/>
          <w:numId w:val="0"/>
        </w:numPr>
        <w:ind w:firstLine="708" w:firstLineChars="0"/>
        <w:jc w:val="both"/>
        <w:rPr>
          <w:rFonts w:hint="default" w:ascii="Times New Roman" w:hAnsi="Times New Roman" w:cs="Times New Roman"/>
          <w:sz w:val="24"/>
          <w:szCs w:val="24"/>
          <w:lang w:val="ru-RU"/>
        </w:rPr>
      </w:pPr>
    </w:p>
    <w:p w14:paraId="160BF15F">
      <w:pPr>
        <w:numPr>
          <w:ilvl w:val="0"/>
          <w:numId w:val="0"/>
        </w:numPr>
        <w:ind w:firstLine="708" w:firstLineChars="0"/>
        <w:jc w:val="both"/>
        <w:rPr>
          <w:rFonts w:hint="default" w:ascii="Times New Roman" w:hAnsi="Times New Roman" w:cs="Times New Roman"/>
          <w:sz w:val="32"/>
          <w:szCs w:val="32"/>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sz w:val="32"/>
          <w:szCs w:val="32"/>
          <w:lang w:val="ru-RU"/>
        </w:rPr>
        <w:t>Список источников заимствованных изображений</w:t>
      </w:r>
    </w:p>
    <w:p w14:paraId="7BCDF558">
      <w:pPr>
        <w:numPr>
          <w:ilvl w:val="0"/>
          <w:numId w:val="0"/>
        </w:numPr>
        <w:jc w:val="both"/>
        <w:rPr>
          <w:rFonts w:hint="default" w:ascii="Times New Roman" w:hAnsi="Times New Roman" w:cs="Times New Roman"/>
          <w:sz w:val="24"/>
          <w:szCs w:val="24"/>
          <w:lang w:val="ru-RU"/>
        </w:rPr>
      </w:pPr>
    </w:p>
    <w:p w14:paraId="642D0B26">
      <w:pPr>
        <w:numPr>
          <w:ilvl w:val="0"/>
          <w:numId w:val="3"/>
        </w:numPr>
        <w:rPr>
          <w:rFonts w:hint="default"/>
          <w:lang w:val="ru-RU"/>
        </w:rPr>
      </w:pPr>
      <w:r>
        <w:rPr>
          <w:rFonts w:hint="default"/>
        </w:rPr>
        <w:fldChar w:fldCharType="begin"/>
      </w:r>
      <w:r>
        <w:rPr>
          <w:rFonts w:hint="default"/>
        </w:rPr>
        <w:instrText xml:space="preserve"> HYPERLINK "https://ru.pinterest.com" </w:instrText>
      </w:r>
      <w:r>
        <w:rPr>
          <w:rFonts w:hint="default"/>
        </w:rPr>
        <w:fldChar w:fldCharType="separate"/>
      </w:r>
      <w:r>
        <w:rPr>
          <w:rStyle w:val="4"/>
          <w:rFonts w:hint="default"/>
        </w:rPr>
        <w:t>https://ru.pinterest.com</w:t>
      </w:r>
      <w:r>
        <w:rPr>
          <w:rFonts w:hint="default"/>
        </w:rPr>
        <w:fldChar w:fldCharType="end"/>
      </w:r>
      <w:r>
        <w:rPr>
          <w:rFonts w:hint="default"/>
          <w:lang w:val="ru-RU"/>
        </w:rPr>
        <w:t xml:space="preserve"> </w:t>
      </w:r>
    </w:p>
    <w:p w14:paraId="71984660">
      <w:pPr>
        <w:numPr>
          <w:ilvl w:val="0"/>
          <w:numId w:val="3"/>
        </w:numPr>
        <w:ind w:left="0" w:leftChars="0" w:firstLine="0" w:firstLineChars="0"/>
        <w:rPr>
          <w:rFonts w:hint="default"/>
          <w:lang w:val="ru-RU"/>
        </w:rPr>
      </w:pPr>
      <w:r>
        <w:rPr>
          <w:rFonts w:hint="default"/>
          <w:lang w:val="ru-RU"/>
        </w:rPr>
        <w:fldChar w:fldCharType="begin"/>
      </w:r>
      <w:r>
        <w:rPr>
          <w:rFonts w:hint="default"/>
          <w:lang w:val="ru-RU"/>
        </w:rPr>
        <w:instrText xml:space="preserve"> HYPERLINK "https://yandex.ru/images" </w:instrText>
      </w:r>
      <w:r>
        <w:rPr>
          <w:rFonts w:hint="default"/>
          <w:lang w:val="ru-RU"/>
        </w:rPr>
        <w:fldChar w:fldCharType="separate"/>
      </w:r>
      <w:r>
        <w:rPr>
          <w:rStyle w:val="4"/>
          <w:rFonts w:hint="default"/>
          <w:lang w:val="ru-RU"/>
        </w:rPr>
        <w:t>https://yandex.ru/images</w:t>
      </w:r>
      <w:r>
        <w:rPr>
          <w:rFonts w:hint="default"/>
          <w:lang w:val="ru-RU"/>
        </w:rPr>
        <w:fldChar w:fldCharType="end"/>
      </w:r>
      <w:r>
        <w:rPr>
          <w:rFonts w:hint="default"/>
          <w:lang w:val="ru-RU"/>
        </w:rPr>
        <w:t xml:space="preserve"> </w:t>
      </w:r>
      <w:bookmarkStart w:id="0" w:name="_GoBack"/>
      <w:bookmarkEnd w:id="0"/>
    </w:p>
    <w:sectPr>
      <w:pgSz w:w="11906" w:h="16838"/>
      <w:pgMar w:top="873" w:right="1134" w:bottom="873"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A97EE"/>
    <w:multiLevelType w:val="singleLevel"/>
    <w:tmpl w:val="C83A97EE"/>
    <w:lvl w:ilvl="0" w:tentative="0">
      <w:start w:val="1"/>
      <w:numFmt w:val="decimal"/>
      <w:suff w:val="space"/>
      <w:lvlText w:val="%1)"/>
      <w:lvlJc w:val="left"/>
    </w:lvl>
  </w:abstractNum>
  <w:abstractNum w:abstractNumId="1">
    <w:nsid w:val="2DF9A3EB"/>
    <w:multiLevelType w:val="singleLevel"/>
    <w:tmpl w:val="2DF9A3EB"/>
    <w:lvl w:ilvl="0" w:tentative="0">
      <w:start w:val="1"/>
      <w:numFmt w:val="decimal"/>
      <w:suff w:val="space"/>
      <w:lvlText w:val="%1)"/>
      <w:lvlJc w:val="left"/>
      <w:pPr>
        <w:ind w:left="50" w:firstLine="0"/>
      </w:pPr>
    </w:lvl>
  </w:abstractNum>
  <w:abstractNum w:abstractNumId="2">
    <w:nsid w:val="3030CD79"/>
    <w:multiLevelType w:val="singleLevel"/>
    <w:tmpl w:val="3030CD79"/>
    <w:lvl w:ilvl="0" w:tentative="0">
      <w:start w:val="1"/>
      <w:numFmt w:val="decimal"/>
      <w:suff w:val="space"/>
      <w:lvlText w:val="%1."/>
      <w:lvlJc w:val="left"/>
      <w:rPr>
        <w:rFonts w:hint="default" w:ascii="Times New Roman" w:hAnsi="Times New Roman" w:cs="Times New Roman"/>
        <w:sz w:val="24"/>
        <w:szCs w:val="24"/>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34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Calibri" w:hAnsi="Calibri" w:eastAsia="SimSun" w:cs="Times New Roman"/>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17</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2026-06-08T08:19:04Z</dcterms:created>
  <dc:creator>олег</dc:creator>
  <cp:lastModifiedBy>олег</cp:lastModifiedBy>
  <dcterms:modified xsi:type="dcterms:W3CDTF">2026-06-08T08:36:14Z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eyJoZGlkIjoiMWU4MWQ0ZWM4ZDRlYWZiNzg4NDRiOWMwOTA3MjEyYzgifQ==</vt:lpwstr>
  </property>
  <property fmtid="{D5CDD505-2E9C-101B-9397-08002B2CF9AE}" pid="4" name="ICV">
    <vt:lpwstr>94AAE6E3624246E1850498F899EE05ED_12</vt:lpwstr>
  </property>
</Properties>
</file>